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0E7EA" w14:textId="3A49E2FC" w:rsidR="00C10032" w:rsidRPr="00020ED6" w:rsidRDefault="00020ED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20ED6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 1.</w:t>
      </w:r>
      <w:r w:rsidRPr="00020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20ED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Staphylococcus aureus </w:t>
      </w:r>
      <w:r w:rsidRPr="00020ED6">
        <w:rPr>
          <w:rFonts w:ascii="Times New Roman" w:hAnsi="Times New Roman" w:cs="Times New Roman"/>
          <w:sz w:val="24"/>
          <w:szCs w:val="24"/>
          <w:lang w:val="en-US"/>
        </w:rPr>
        <w:t>and non-</w:t>
      </w:r>
      <w:r w:rsidRPr="00020ED6">
        <w:rPr>
          <w:rFonts w:ascii="Times New Roman" w:hAnsi="Times New Roman" w:cs="Times New Roman"/>
          <w:i/>
          <w:iCs/>
          <w:sz w:val="24"/>
          <w:szCs w:val="24"/>
          <w:lang w:val="en-US"/>
        </w:rPr>
        <w:t>aureus</w:t>
      </w:r>
      <w:r w:rsidRPr="00020ED6">
        <w:rPr>
          <w:rFonts w:ascii="Times New Roman" w:hAnsi="Times New Roman" w:cs="Times New Roman"/>
          <w:sz w:val="24"/>
          <w:szCs w:val="24"/>
          <w:lang w:val="en-US"/>
        </w:rPr>
        <w:t xml:space="preserve"> staphylococci and </w:t>
      </w:r>
      <w:proofErr w:type="spellStart"/>
      <w:r w:rsidRPr="00020ED6">
        <w:rPr>
          <w:rFonts w:ascii="Times New Roman" w:hAnsi="Times New Roman" w:cs="Times New Roman"/>
          <w:sz w:val="24"/>
          <w:szCs w:val="24"/>
          <w:lang w:val="en-US"/>
        </w:rPr>
        <w:t>mammal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20ED6">
        <w:rPr>
          <w:rFonts w:ascii="Times New Roman" w:hAnsi="Times New Roman" w:cs="Times New Roman"/>
          <w:sz w:val="24"/>
          <w:szCs w:val="24"/>
          <w:lang w:val="en-US"/>
        </w:rPr>
        <w:t>icocci</w:t>
      </w:r>
      <w:proofErr w:type="spellEnd"/>
      <w:r w:rsidRPr="00020E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strains (NASM) </w:t>
      </w:r>
      <w:r w:rsidRPr="00020ED6">
        <w:rPr>
          <w:rFonts w:ascii="Times New Roman" w:hAnsi="Times New Roman" w:cs="Times New Roman"/>
          <w:sz w:val="24"/>
          <w:szCs w:val="24"/>
          <w:lang w:val="en-US"/>
        </w:rPr>
        <w:t>used in our study.</w:t>
      </w:r>
    </w:p>
    <w:tbl>
      <w:tblPr>
        <w:tblStyle w:val="Tabelacomgrade"/>
        <w:tblW w:w="14072" w:type="dxa"/>
        <w:tblLook w:val="04A0" w:firstRow="1" w:lastRow="0" w:firstColumn="1" w:lastColumn="0" w:noHBand="0" w:noVBand="1"/>
      </w:tblPr>
      <w:tblGrid>
        <w:gridCol w:w="4690"/>
        <w:gridCol w:w="4690"/>
        <w:gridCol w:w="4692"/>
      </w:tblGrid>
      <w:tr w:rsidR="00020ED6" w:rsidRPr="00020ED6" w14:paraId="64FA7AD5" w14:textId="77777777" w:rsidTr="00020ED6">
        <w:trPr>
          <w:trHeight w:val="258"/>
        </w:trPr>
        <w:tc>
          <w:tcPr>
            <w:tcW w:w="4690" w:type="dxa"/>
          </w:tcPr>
          <w:p w14:paraId="1A47A199" w14:textId="231B6359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Bacteria</w:t>
            </w:r>
          </w:p>
        </w:tc>
        <w:tc>
          <w:tcPr>
            <w:tcW w:w="4690" w:type="dxa"/>
          </w:tcPr>
          <w:p w14:paraId="490F17C3" w14:textId="44CEF07D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Origin</w:t>
            </w:r>
          </w:p>
        </w:tc>
        <w:tc>
          <w:tcPr>
            <w:tcW w:w="4692" w:type="dxa"/>
          </w:tcPr>
          <w:p w14:paraId="630F81FC" w14:textId="527D8949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References</w:t>
            </w:r>
          </w:p>
        </w:tc>
      </w:tr>
      <w:tr w:rsidR="00020ED6" w:rsidRPr="00DB54BD" w14:paraId="45B7FA9B" w14:textId="77777777" w:rsidTr="00020ED6">
        <w:trPr>
          <w:trHeight w:val="258"/>
        </w:trPr>
        <w:tc>
          <w:tcPr>
            <w:tcW w:w="4690" w:type="dxa"/>
          </w:tcPr>
          <w:p w14:paraId="784738DC" w14:textId="440BE53A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Staphylococcus aureus</w:t>
            </w:r>
          </w:p>
        </w:tc>
        <w:tc>
          <w:tcPr>
            <w:tcW w:w="4690" w:type="dxa"/>
          </w:tcPr>
          <w:p w14:paraId="5F5D36F2" w14:textId="228D409F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ersistent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bovine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subclinical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intramammary infection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spa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t605)</w:t>
            </w:r>
          </w:p>
        </w:tc>
        <w:tc>
          <w:tcPr>
            <w:tcW w:w="4692" w:type="dxa"/>
          </w:tcPr>
          <w:p w14:paraId="1611D8D4" w14:textId="4D86F779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</w:rPr>
              <w:t>Santos et al. (2020)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</w:rPr>
              <w:t xml:space="preserve">; Cunha et al. </w:t>
            </w:r>
            <w:r w:rsidR="00DB54BD">
              <w:rPr>
                <w:rFonts w:ascii="Times New Roman" w:hAnsi="Times New Roman" w:cs="Times New Roman"/>
                <w:sz w:val="24"/>
                <w:szCs w:val="24"/>
              </w:rPr>
              <w:t>(2020); Souza et al. (2022)</w:t>
            </w:r>
            <w:r w:rsidR="00E63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0ED6" w:rsidRPr="00DB54BD" w14:paraId="2AD3EA75" w14:textId="77777777" w:rsidTr="00020ED6">
        <w:trPr>
          <w:trHeight w:val="262"/>
        </w:trPr>
        <w:tc>
          <w:tcPr>
            <w:tcW w:w="4690" w:type="dxa"/>
          </w:tcPr>
          <w:p w14:paraId="3E15F1FD" w14:textId="799CB4B3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Staphylococcus aureus</w:t>
            </w:r>
          </w:p>
        </w:tc>
        <w:tc>
          <w:tcPr>
            <w:tcW w:w="4690" w:type="dxa"/>
          </w:tcPr>
          <w:p w14:paraId="6AF13D0A" w14:textId="13E8C13E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Dairy cow’s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nose (</w:t>
            </w: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spa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t089)</w:t>
            </w:r>
          </w:p>
        </w:tc>
        <w:tc>
          <w:tcPr>
            <w:tcW w:w="4692" w:type="dxa"/>
          </w:tcPr>
          <w:p w14:paraId="43BFA96F" w14:textId="70B93E97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</w:rPr>
              <w:t>Santos et al. (2020)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</w:rPr>
              <w:t>; Souza e</w:t>
            </w:r>
            <w:r w:rsidR="00DB54BD">
              <w:rPr>
                <w:rFonts w:ascii="Times New Roman" w:hAnsi="Times New Roman" w:cs="Times New Roman"/>
                <w:sz w:val="24"/>
                <w:szCs w:val="24"/>
              </w:rPr>
              <w:t>t al. (2022)</w:t>
            </w:r>
          </w:p>
        </w:tc>
      </w:tr>
      <w:tr w:rsidR="00020ED6" w:rsidRPr="00020ED6" w14:paraId="370F59BE" w14:textId="77777777" w:rsidTr="00020ED6">
        <w:trPr>
          <w:trHeight w:val="516"/>
        </w:trPr>
        <w:tc>
          <w:tcPr>
            <w:tcW w:w="4690" w:type="dxa"/>
          </w:tcPr>
          <w:p w14:paraId="1ED649E5" w14:textId="3C966E02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Staphylococcus </w:t>
            </w: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chromogenes</w:t>
            </w:r>
          </w:p>
        </w:tc>
        <w:tc>
          <w:tcPr>
            <w:tcW w:w="4690" w:type="dxa"/>
          </w:tcPr>
          <w:p w14:paraId="1DDDA34C" w14:textId="4EB57704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Persistent bovine subclinical intramammary infection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DB54B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multilocus</w:t>
            </w:r>
            <w:proofErr w:type="spellEnd"/>
            <w:r w:rsidRPr="00DB54B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sequence type 1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capable of colonizing quarters of dry quarters</w:t>
            </w:r>
            <w:r w:rsidR="0043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434558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and has </w:t>
            </w:r>
            <w:r w:rsidR="00434558"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in vitro </w:t>
            </w:r>
            <w:r w:rsidR="00434558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inhibitory effects against </w:t>
            </w:r>
            <w:r w:rsidR="00434558"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S. aureus, Streptococcus </w:t>
            </w:r>
            <w:proofErr w:type="spellStart"/>
            <w:r w:rsidR="00434558"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uberis</w:t>
            </w:r>
            <w:proofErr w:type="spellEnd"/>
            <w:r w:rsidR="004345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r w:rsidR="00434558"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Streptococcus </w:t>
            </w:r>
            <w:proofErr w:type="spellStart"/>
            <w:r w:rsidR="00434558"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dysgalactiae</w:t>
            </w:r>
            <w:proofErr w:type="spellEnd"/>
            <w:r w:rsidR="004345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43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and </w:t>
            </w:r>
            <w:r w:rsidR="004345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Escherichia coli</w:t>
            </w:r>
          </w:p>
        </w:tc>
        <w:tc>
          <w:tcPr>
            <w:tcW w:w="4692" w:type="dxa"/>
          </w:tcPr>
          <w:p w14:paraId="5ACE4A90" w14:textId="1B6A6624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 </w:t>
            </w:r>
            <w:proofErr w:type="spellStart"/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Vliegher</w:t>
            </w:r>
            <w:proofErr w:type="spellEnd"/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(2004); </w:t>
            </w:r>
            <w:proofErr w:type="spellStart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Breyne</w:t>
            </w:r>
            <w:proofErr w:type="spellEnd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Piccart</w:t>
            </w:r>
            <w:proofErr w:type="spellEnd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Souza et al. 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Beuckelaere</w:t>
            </w:r>
            <w:proofErr w:type="spellEnd"/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Huebner et al. 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); </w:t>
            </w:r>
            <w:r w:rsidR="00E63973" w:rsidRP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Toledo-Silva et al. </w:t>
            </w:r>
            <w:r w:rsidR="00E63973" w:rsidRPr="00DB54BD">
              <w:rPr>
                <w:rFonts w:ascii="Times New Roman" w:hAnsi="Times New Roman" w:cs="Times New Roman"/>
                <w:sz w:val="24"/>
                <w:szCs w:val="24"/>
              </w:rPr>
              <w:t>(2021a); Toledo-Silva et al. (2021b</w:t>
            </w:r>
            <w:r w:rsidR="00E63973">
              <w:rPr>
                <w:rFonts w:ascii="Times New Roman" w:hAnsi="Times New Roman" w:cs="Times New Roman"/>
                <w:sz w:val="24"/>
                <w:szCs w:val="24"/>
              </w:rPr>
              <w:t>); Toledo-Silva et al. (2022)</w:t>
            </w:r>
            <w:r w:rsidR="00E63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0ED6" w:rsidRPr="00DB54BD" w14:paraId="4DE01EC5" w14:textId="77777777" w:rsidTr="00020ED6">
        <w:trPr>
          <w:trHeight w:val="516"/>
        </w:trPr>
        <w:tc>
          <w:tcPr>
            <w:tcW w:w="4690" w:type="dxa"/>
          </w:tcPr>
          <w:p w14:paraId="62F2A949" w14:textId="2FD026E5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Staphylococcus chromogenes</w:t>
            </w:r>
          </w:p>
        </w:tc>
        <w:tc>
          <w:tcPr>
            <w:tcW w:w="4690" w:type="dxa"/>
          </w:tcPr>
          <w:p w14:paraId="12553881" w14:textId="783E90E9" w:rsidR="00020ED6" w:rsidRPr="00434558" w:rsidRDefault="00020ED6" w:rsidP="00DB54B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eifer’s teat apex and has </w:t>
            </w: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in vitro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inhibitory effects against </w:t>
            </w: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S. aureus, Streptococcus </w:t>
            </w:r>
            <w:proofErr w:type="spellStart"/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uberis</w:t>
            </w:r>
            <w:proofErr w:type="spellEnd"/>
            <w:r w:rsidR="004345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Streptococcus </w:t>
            </w:r>
            <w:proofErr w:type="spellStart"/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dysgalactiae</w:t>
            </w:r>
            <w:proofErr w:type="spellEnd"/>
            <w:r w:rsidR="004345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4345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and </w:t>
            </w:r>
            <w:r w:rsidR="004345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Escherichia coli</w:t>
            </w:r>
          </w:p>
        </w:tc>
        <w:tc>
          <w:tcPr>
            <w:tcW w:w="4692" w:type="dxa"/>
          </w:tcPr>
          <w:p w14:paraId="6A655E50" w14:textId="564E95F1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4BD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DB54BD">
              <w:rPr>
                <w:rFonts w:ascii="Times New Roman" w:hAnsi="Times New Roman" w:cs="Times New Roman"/>
                <w:sz w:val="24"/>
                <w:szCs w:val="24"/>
              </w:rPr>
              <w:t>Vliegher</w:t>
            </w:r>
            <w:proofErr w:type="spellEnd"/>
            <w:r w:rsidRPr="00DB54BD">
              <w:rPr>
                <w:rFonts w:ascii="Times New Roman" w:hAnsi="Times New Roman" w:cs="Times New Roman"/>
                <w:sz w:val="24"/>
                <w:szCs w:val="24"/>
              </w:rPr>
              <w:t xml:space="preserve"> et al.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(2004); </w:t>
            </w:r>
            <w:proofErr w:type="spellStart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Breyne</w:t>
            </w:r>
            <w:proofErr w:type="spellEnd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Piccart</w:t>
            </w:r>
            <w:proofErr w:type="spellEnd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Souza et al.</w:t>
            </w:r>
            <w:r w:rsid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</w:rPr>
              <w:t>(2016); Toledo-Silva et al. (2021a); Toledo-Silva et al. (2021b</w:t>
            </w:r>
            <w:r w:rsidR="00DB54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63973">
              <w:rPr>
                <w:rFonts w:ascii="Times New Roman" w:hAnsi="Times New Roman" w:cs="Times New Roman"/>
                <w:sz w:val="24"/>
                <w:szCs w:val="24"/>
              </w:rPr>
              <w:t>; Toledo-Silva et al. (2022).</w:t>
            </w:r>
          </w:p>
        </w:tc>
      </w:tr>
      <w:tr w:rsidR="00020ED6" w:rsidRPr="00020ED6" w14:paraId="3533C66C" w14:textId="77777777" w:rsidTr="00020ED6">
        <w:trPr>
          <w:trHeight w:val="262"/>
        </w:trPr>
        <w:tc>
          <w:tcPr>
            <w:tcW w:w="4690" w:type="dxa"/>
          </w:tcPr>
          <w:p w14:paraId="71F9C881" w14:textId="1A55EF74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DB54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Mammaliicoccus</w:t>
            </w:r>
            <w:proofErr w:type="spellEnd"/>
            <w:r w:rsidRPr="00DB54B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DB54B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pt-BR"/>
              </w:rPr>
              <w:t>fleurettii</w:t>
            </w:r>
            <w:proofErr w:type="spellEnd"/>
          </w:p>
        </w:tc>
        <w:tc>
          <w:tcPr>
            <w:tcW w:w="4690" w:type="dxa"/>
          </w:tcPr>
          <w:p w14:paraId="168DF773" w14:textId="622BA564" w:rsidR="00020ED6" w:rsidRPr="00DB54BD" w:rsidRDefault="00DB54BD" w:rsidP="00DB54BD">
            <w:pPr>
              <w:pStyle w:val="Ttulo3"/>
              <w:spacing w:before="0" w:line="480" w:lineRule="auto"/>
              <w:ind w:left="0"/>
              <w:jc w:val="center"/>
            </w:pPr>
            <w:r w:rsidRPr="00DB54BD">
              <w:rPr>
                <w:b w:val="0"/>
                <w:u w:val="none"/>
              </w:rPr>
              <w:t>S</w:t>
            </w:r>
            <w:r w:rsidR="00020ED6" w:rsidRPr="00DB54BD">
              <w:rPr>
                <w:b w:val="0"/>
                <w:u w:val="none"/>
              </w:rPr>
              <w:t xml:space="preserve">awdust on a dairy farm </w:t>
            </w:r>
          </w:p>
        </w:tc>
        <w:tc>
          <w:tcPr>
            <w:tcW w:w="4692" w:type="dxa"/>
          </w:tcPr>
          <w:p w14:paraId="5F5AB08C" w14:textId="3BD36784" w:rsidR="00020ED6" w:rsidRPr="00DB54BD" w:rsidRDefault="00020ED6" w:rsidP="00DB54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Piessens</w:t>
            </w:r>
            <w:proofErr w:type="spellEnd"/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2011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); </w:t>
            </w:r>
            <w:proofErr w:type="spellStart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Breyne</w:t>
            </w:r>
            <w:proofErr w:type="spellEnd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Piccart</w:t>
            </w:r>
            <w:proofErr w:type="spellEnd"/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Souza et al. 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DB54BD" w:rsidRPr="00DB5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  <w:r w:rsidR="00E63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</w:tr>
    </w:tbl>
    <w:p w14:paraId="20E307AE" w14:textId="40AA6B46" w:rsidR="00E63973" w:rsidRDefault="00E63973">
      <w:pPr>
        <w:rPr>
          <w:lang w:val="en-US"/>
        </w:rPr>
      </w:pPr>
    </w:p>
    <w:p w14:paraId="64E24271" w14:textId="437F37A6" w:rsidR="00E63973" w:rsidRPr="00434558" w:rsidRDefault="00E63973" w:rsidP="0043455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34558">
        <w:rPr>
          <w:rFonts w:ascii="Times New Roman" w:hAnsi="Times New Roman" w:cs="Times New Roman"/>
          <w:b/>
          <w:bCs/>
          <w:sz w:val="24"/>
          <w:szCs w:val="24"/>
          <w:lang w:val="en-US"/>
        </w:rPr>
        <w:t>References</w:t>
      </w:r>
    </w:p>
    <w:p w14:paraId="5E6A6BB2" w14:textId="0B234F2A" w:rsidR="00E63973" w:rsidRPr="00434558" w:rsidRDefault="00E63973" w:rsidP="0043455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Beuckelaere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L., A. De Visscher, F.N. Souza, E. Meyer, F.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Haesebrouck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S.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and S.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2021. Colonization and local host response following intramammary 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Staphylococcus chromogenes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challenge in dry cows. Vet Res. 52(1):137.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doi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10.1186/s13567-021-01007-8. </w:t>
      </w:r>
    </w:p>
    <w:p w14:paraId="64A0C1EB" w14:textId="0D8746B4" w:rsidR="00E63973" w:rsidRPr="00434558" w:rsidRDefault="00E63973" w:rsidP="0043455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Breyne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K., S.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A. De Visscher, S.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and E. Meyer. 2015. Technical note: a pilot study using a mouse mastitis model to study differences between bovine associated coagulase-negative staphylococci. 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Dairy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Sci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98(2):1090-100.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10.3168/jds.2014-8699. </w:t>
      </w:r>
    </w:p>
    <w:p w14:paraId="19B02A9B" w14:textId="165F2D2A" w:rsidR="00434558" w:rsidRPr="00434558" w:rsidRDefault="00434558" w:rsidP="0043455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Cunha AF, Andrade HM, Souza FN,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Fialho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Júnior LC, Rosa DLSO, Ramos Sanchez EMR,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Gidlund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M,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Goto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H, Brito MAVP,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Guimarães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AS, Lage AP, Reis LC, Della Libera AMMP, Heinemann MB,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Cerqueira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MMOP (2020) Comparison of antibody repertories against </w:t>
      </w:r>
      <w:r w:rsidRPr="0043455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Staphylococcus aureus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in healthy and infected dairy cows with distinct mastitis history and vaccinated with a polyvalent mastitis vaccine. </w:t>
      </w:r>
      <w:r w:rsidRPr="00434558">
        <w:rPr>
          <w:rFonts w:ascii="Times New Roman" w:hAnsi="Times New Roman" w:cs="Times New Roman"/>
          <w:iCs/>
          <w:sz w:val="24"/>
          <w:szCs w:val="24"/>
        </w:rPr>
        <w:t xml:space="preserve">J </w:t>
      </w:r>
      <w:proofErr w:type="spellStart"/>
      <w:r w:rsidRPr="00434558">
        <w:rPr>
          <w:rFonts w:ascii="Times New Roman" w:hAnsi="Times New Roman" w:cs="Times New Roman"/>
          <w:iCs/>
          <w:sz w:val="24"/>
          <w:szCs w:val="24"/>
        </w:rPr>
        <w:t>Dairy</w:t>
      </w:r>
      <w:proofErr w:type="spellEnd"/>
      <w:r w:rsidRPr="0043455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434558">
        <w:rPr>
          <w:rFonts w:ascii="Times New Roman" w:hAnsi="Times New Roman" w:cs="Times New Roman"/>
          <w:iCs/>
          <w:sz w:val="24"/>
          <w:szCs w:val="24"/>
        </w:rPr>
        <w:t>Sci</w:t>
      </w:r>
      <w:proofErr w:type="spellEnd"/>
      <w:r w:rsidRPr="00434558">
        <w:rPr>
          <w:rFonts w:ascii="Times New Roman" w:hAnsi="Times New Roman" w:cs="Times New Roman"/>
          <w:sz w:val="24"/>
          <w:szCs w:val="24"/>
        </w:rPr>
        <w:t xml:space="preserve"> 103(5):4588-4605, 2020.</w:t>
      </w:r>
    </w:p>
    <w:p w14:paraId="3DAD1505" w14:textId="0C9BEAAD" w:rsidR="00E63973" w:rsidRPr="00434558" w:rsidRDefault="00E63973" w:rsidP="00434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lastRenderedPageBreak/>
        <w:t xml:space="preserve">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S., G.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Opsomer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Vanrolleghem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L.A.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Devriese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O.C.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Sampimon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J. Sol, H.W.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Barkema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F.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Haesebrouck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and A.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Kruif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2004. 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In vitro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growth inhibition of major mastitis pathogens by 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Staphylococcus chromogenes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originating from teat apices of dairy heifers.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Vet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Microbiol.101(3):215-21.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10.1016/j.vetmic.2004.03.020. </w:t>
      </w:r>
    </w:p>
    <w:p w14:paraId="4B56241A" w14:textId="25CFA209" w:rsidR="00E63973" w:rsidRPr="00434558" w:rsidRDefault="00E63973" w:rsidP="00434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Huebner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R., R.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Mugabi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G.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Hetesy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L. Fox, S.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A.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Visscher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J.W. Barlow,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and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Sensabaugh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2021. Characterization of genetic diversity and population structure within 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Staphylococcus chromogenes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by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multilocus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sequence typing.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PLoS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One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16(3):e0243688.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10.1371/journal.pone.0243688. </w:t>
      </w:r>
    </w:p>
    <w:p w14:paraId="612716F7" w14:textId="7E39A654" w:rsidR="00E63973" w:rsidRPr="00434558" w:rsidRDefault="00E63973" w:rsidP="00434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nl-BE"/>
        </w:rPr>
      </w:pP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Piccart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, K., J. Verbeke, A. De Visscher, S.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, F.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Haesebrouck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, F., and S.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. 2016. Local host response following an intramammary challenge with </w:t>
      </w:r>
      <w:r w:rsidRPr="00434558">
        <w:rPr>
          <w:rFonts w:ascii="Times New Roman" w:hAnsi="Times New Roman" w:cs="Times New Roman"/>
          <w:i/>
          <w:sz w:val="24"/>
          <w:szCs w:val="24"/>
          <w:lang w:val="en-US"/>
        </w:rPr>
        <w:t xml:space="preserve">Staphylococcus </w:t>
      </w:r>
      <w:proofErr w:type="spellStart"/>
      <w:r w:rsidRPr="00434558">
        <w:rPr>
          <w:rFonts w:ascii="Times New Roman" w:hAnsi="Times New Roman" w:cs="Times New Roman"/>
          <w:i/>
          <w:sz w:val="24"/>
          <w:szCs w:val="24"/>
          <w:lang w:val="en-US"/>
        </w:rPr>
        <w:t>fleurettii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and different strains of </w:t>
      </w:r>
      <w:proofErr w:type="spellStart"/>
      <w:r w:rsidRPr="00434558">
        <w:rPr>
          <w:rFonts w:ascii="Times New Roman" w:hAnsi="Times New Roman" w:cs="Times New Roman"/>
          <w:i/>
          <w:sz w:val="24"/>
          <w:szCs w:val="24"/>
          <w:lang w:val="en-US"/>
        </w:rPr>
        <w:t>Staphylococccus</w:t>
      </w:r>
      <w:proofErr w:type="spellEnd"/>
      <w:r w:rsidRPr="0043455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chromogenes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 in dairy heifers. </w:t>
      </w:r>
      <w:r w:rsidRPr="00434558">
        <w:rPr>
          <w:rFonts w:ascii="Times New Roman" w:hAnsi="Times New Roman" w:cs="Times New Roman"/>
          <w:sz w:val="24"/>
          <w:szCs w:val="24"/>
          <w:lang w:val="nl-BE"/>
        </w:rPr>
        <w:t>Vet Res</w:t>
      </w:r>
      <w:r w:rsidRPr="00434558">
        <w:rPr>
          <w:rFonts w:ascii="Times New Roman" w:hAnsi="Times New Roman" w:cs="Times New Roman"/>
          <w:i/>
          <w:sz w:val="24"/>
          <w:szCs w:val="24"/>
          <w:lang w:val="nl-BE"/>
        </w:rPr>
        <w:t xml:space="preserve"> </w:t>
      </w:r>
      <w:r w:rsidRPr="00434558">
        <w:rPr>
          <w:rFonts w:ascii="Times New Roman" w:hAnsi="Times New Roman" w:cs="Times New Roman"/>
          <w:sz w:val="24"/>
          <w:szCs w:val="24"/>
          <w:lang w:val="nl-BE"/>
        </w:rPr>
        <w:t>47:56</w:t>
      </w:r>
      <w:r w:rsidRPr="00434558">
        <w:rPr>
          <w:rFonts w:ascii="Times New Roman" w:hAnsi="Times New Roman" w:cs="Times New Roman"/>
          <w:sz w:val="24"/>
          <w:szCs w:val="24"/>
          <w:lang w:val="nl-BE"/>
        </w:rPr>
        <w:t>.</w:t>
      </w:r>
    </w:p>
    <w:p w14:paraId="46386531" w14:textId="24C1D055" w:rsidR="00E63973" w:rsidRPr="00434558" w:rsidRDefault="00E63973" w:rsidP="0043455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558">
        <w:rPr>
          <w:rFonts w:ascii="Times New Roman" w:hAnsi="Times New Roman" w:cs="Times New Roman"/>
          <w:sz w:val="24"/>
          <w:szCs w:val="24"/>
          <w:lang w:val="nl-BE"/>
        </w:rPr>
        <w:t xml:space="preserve">Piessens, V., E. </w:t>
      </w:r>
      <w:r w:rsidRPr="00434558">
        <w:rPr>
          <w:rStyle w:val="cf01"/>
          <w:rFonts w:ascii="Times New Roman" w:hAnsi="Times New Roman" w:cs="Times New Roman"/>
          <w:color w:val="auto"/>
          <w:sz w:val="24"/>
          <w:szCs w:val="24"/>
          <w:lang w:val="nl-BE"/>
        </w:rPr>
        <w:t>Van Coillie, B. Verbist, K. Supré, G., Braem, A. Van Nuffel, L. De Vuyst, M. Heyndrickx, and S. De Vliegher.</w:t>
      </w:r>
      <w:r w:rsidRPr="00434558">
        <w:rPr>
          <w:rFonts w:ascii="Times New Roman" w:hAnsi="Times New Roman" w:cs="Times New Roman"/>
          <w:sz w:val="24"/>
          <w:szCs w:val="24"/>
          <w:lang w:val="nl-BE"/>
        </w:rPr>
        <w:t xml:space="preserve">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2011. Distribution of coagulase-negative </w:t>
      </w:r>
      <w:r w:rsidRPr="0043455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Staphylococcus species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from milk and environment of dairy cows differs between herds. </w:t>
      </w:r>
      <w:r w:rsidRPr="00434558">
        <w:rPr>
          <w:rFonts w:ascii="Times New Roman" w:hAnsi="Times New Roman" w:cs="Times New Roman"/>
          <w:sz w:val="24"/>
          <w:szCs w:val="24"/>
        </w:rPr>
        <w:t xml:space="preserve">J. </w:t>
      </w:r>
      <w:proofErr w:type="spellStart"/>
      <w:r w:rsidRPr="00434558">
        <w:rPr>
          <w:rFonts w:ascii="Times New Roman" w:hAnsi="Times New Roman" w:cs="Times New Roman"/>
          <w:sz w:val="24"/>
          <w:szCs w:val="24"/>
        </w:rPr>
        <w:t>Dairy</w:t>
      </w:r>
      <w:proofErr w:type="spellEnd"/>
      <w:r w:rsidRPr="00434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558">
        <w:rPr>
          <w:rFonts w:ascii="Times New Roman" w:hAnsi="Times New Roman" w:cs="Times New Roman"/>
          <w:sz w:val="24"/>
          <w:szCs w:val="24"/>
        </w:rPr>
        <w:t>Sci</w:t>
      </w:r>
      <w:proofErr w:type="spellEnd"/>
      <w:r w:rsidRPr="00434558">
        <w:rPr>
          <w:rFonts w:ascii="Times New Roman" w:hAnsi="Times New Roman" w:cs="Times New Roman"/>
          <w:sz w:val="24"/>
          <w:szCs w:val="24"/>
        </w:rPr>
        <w:t>.</w:t>
      </w:r>
      <w:r w:rsidRPr="004345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4558">
        <w:rPr>
          <w:rFonts w:ascii="Times New Roman" w:hAnsi="Times New Roman" w:cs="Times New Roman"/>
          <w:sz w:val="24"/>
          <w:szCs w:val="24"/>
        </w:rPr>
        <w:t>94:2933-2934. doi.org/10.3168/jds.2010-3956.</w:t>
      </w:r>
    </w:p>
    <w:p w14:paraId="5FC2688E" w14:textId="67BF08EA" w:rsidR="00E63973" w:rsidRPr="00434558" w:rsidRDefault="00E63973" w:rsidP="00434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558">
        <w:rPr>
          <w:rFonts w:ascii="Times New Roman" w:hAnsi="Times New Roman" w:cs="Times New Roman"/>
          <w:sz w:val="24"/>
          <w:szCs w:val="24"/>
        </w:rPr>
        <w:t xml:space="preserve">Santos, R.P., F.N. Souza, A.F. Cunha, A.D. Oliveira, A.F. De Souza-Filho, J. </w:t>
      </w:r>
      <w:proofErr w:type="spellStart"/>
      <w:r w:rsidRPr="00434558">
        <w:rPr>
          <w:rFonts w:ascii="Times New Roman" w:hAnsi="Times New Roman" w:cs="Times New Roman"/>
          <w:sz w:val="24"/>
          <w:szCs w:val="24"/>
        </w:rPr>
        <w:t>Aizawa</w:t>
      </w:r>
      <w:proofErr w:type="spellEnd"/>
      <w:r w:rsidRPr="00434558">
        <w:rPr>
          <w:rFonts w:ascii="Times New Roman" w:hAnsi="Times New Roman" w:cs="Times New Roman"/>
          <w:sz w:val="24"/>
          <w:szCs w:val="24"/>
        </w:rPr>
        <w:t xml:space="preserve">, L.Z. Moreno, S.A. Diniz, A.S. Guimarães, M.A.V.P Brito, A.M.M.P. Della Libera, M.B. </w:t>
      </w:r>
      <w:proofErr w:type="spellStart"/>
      <w:r w:rsidRPr="00434558">
        <w:rPr>
          <w:rFonts w:ascii="Times New Roman" w:hAnsi="Times New Roman" w:cs="Times New Roman"/>
          <w:sz w:val="24"/>
          <w:szCs w:val="24"/>
        </w:rPr>
        <w:t>Heinemann</w:t>
      </w:r>
      <w:proofErr w:type="spellEnd"/>
      <w:r w:rsidRPr="004345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455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34558">
        <w:rPr>
          <w:rFonts w:ascii="Times New Roman" w:hAnsi="Times New Roman" w:cs="Times New Roman"/>
          <w:sz w:val="24"/>
          <w:szCs w:val="24"/>
        </w:rPr>
        <w:t xml:space="preserve"> M.M.O.P Cerqueira.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2020. Molecular typing and antimicrobial susceptibility profile of </w:t>
      </w:r>
      <w:r w:rsidRPr="0043455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Staphylococcus aureus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isolates recovered from bovine mastitis and nasal samples. </w:t>
      </w:r>
      <w:proofErr w:type="spellStart"/>
      <w:r w:rsidRPr="00434558">
        <w:rPr>
          <w:rFonts w:ascii="Times New Roman" w:hAnsi="Times New Roman" w:cs="Times New Roman"/>
          <w:sz w:val="24"/>
          <w:szCs w:val="24"/>
        </w:rPr>
        <w:t>Animals</w:t>
      </w:r>
      <w:proofErr w:type="spellEnd"/>
      <w:r w:rsidRPr="00434558">
        <w:rPr>
          <w:rFonts w:ascii="Times New Roman" w:hAnsi="Times New Roman" w:cs="Times New Roman"/>
          <w:sz w:val="24"/>
          <w:szCs w:val="24"/>
        </w:rPr>
        <w:t xml:space="preserve">, 10(11):2143. </w:t>
      </w:r>
      <w:hyperlink r:id="rId4" w:history="1">
        <w:r w:rsidRPr="0043455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https://doi.org/10.3390/ani10112143</w:t>
        </w:r>
      </w:hyperlink>
      <w:r w:rsidRPr="00434558">
        <w:rPr>
          <w:rFonts w:ascii="Times New Roman" w:hAnsi="Times New Roman" w:cs="Times New Roman"/>
          <w:sz w:val="24"/>
          <w:szCs w:val="24"/>
        </w:rPr>
        <w:t>.</w:t>
      </w:r>
    </w:p>
    <w:p w14:paraId="10250A43" w14:textId="77777777" w:rsidR="00E63973" w:rsidRPr="00434558" w:rsidRDefault="00E63973" w:rsidP="00434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4558">
        <w:rPr>
          <w:rFonts w:ascii="Times New Roman" w:hAnsi="Times New Roman" w:cs="Times New Roman"/>
          <w:sz w:val="24"/>
          <w:szCs w:val="24"/>
        </w:rPr>
        <w:t xml:space="preserve">Souza, F.N., S. </w:t>
      </w:r>
      <w:proofErr w:type="spellStart"/>
      <w:r w:rsidRPr="00434558">
        <w:rPr>
          <w:rFonts w:ascii="Times New Roman" w:hAnsi="Times New Roman" w:cs="Times New Roman"/>
          <w:sz w:val="24"/>
          <w:szCs w:val="24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</w:rPr>
        <w:t xml:space="preserve">, A.M.M.P. Della Libera, M.B. </w:t>
      </w:r>
      <w:proofErr w:type="spellStart"/>
      <w:r w:rsidRPr="00434558">
        <w:rPr>
          <w:rFonts w:ascii="Times New Roman" w:hAnsi="Times New Roman" w:cs="Times New Roman"/>
          <w:sz w:val="24"/>
          <w:szCs w:val="24"/>
        </w:rPr>
        <w:t>Heinemann</w:t>
      </w:r>
      <w:proofErr w:type="spellEnd"/>
      <w:r w:rsidRPr="00434558">
        <w:rPr>
          <w:rFonts w:ascii="Times New Roman" w:hAnsi="Times New Roman" w:cs="Times New Roman"/>
          <w:sz w:val="24"/>
          <w:szCs w:val="24"/>
        </w:rPr>
        <w:t xml:space="preserve">, M.M.O.P. Cerqueira, </w:t>
      </w:r>
      <w:proofErr w:type="spellStart"/>
      <w:r w:rsidRPr="0043455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34558">
        <w:rPr>
          <w:rFonts w:ascii="Times New Roman" w:hAnsi="Times New Roman" w:cs="Times New Roman"/>
          <w:sz w:val="24"/>
          <w:szCs w:val="24"/>
        </w:rPr>
        <w:t xml:space="preserve"> S. De </w:t>
      </w:r>
      <w:proofErr w:type="spellStart"/>
      <w:r w:rsidRPr="00434558">
        <w:rPr>
          <w:rFonts w:ascii="Times New Roman" w:hAnsi="Times New Roman" w:cs="Times New Roman"/>
          <w:sz w:val="24"/>
          <w:szCs w:val="24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</w:rPr>
        <w:t xml:space="preserve">.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2016. Interaction between bovine-associated coagulase-negative staphylococci species and strains and bovine mammary epithelial cells reflects differences in ecology and epidemiological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lang w:val="en-US"/>
        </w:rPr>
        <w:t>behaviour</w:t>
      </w:r>
      <w:proofErr w:type="spellEnd"/>
      <w:r w:rsidRPr="00434558">
        <w:rPr>
          <w:rFonts w:ascii="Times New Roman" w:hAnsi="Times New Roman" w:cs="Times New Roman"/>
          <w:sz w:val="24"/>
          <w:szCs w:val="24"/>
          <w:lang w:val="en-US"/>
        </w:rPr>
        <w:t>. J Dairy Sci</w:t>
      </w:r>
      <w:r w:rsidRPr="0043455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434558">
        <w:rPr>
          <w:rFonts w:ascii="Times New Roman" w:hAnsi="Times New Roman" w:cs="Times New Roman"/>
          <w:sz w:val="24"/>
          <w:szCs w:val="24"/>
          <w:lang w:val="en-US"/>
        </w:rPr>
        <w:t xml:space="preserve">99:2867-2874. </w:t>
      </w:r>
      <w:hyperlink r:id="rId5" w:tgtFrame="_blank" w:tooltip="Persistent link using digital object identifier" w:history="1">
        <w:r w:rsidRPr="0043455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https://doi.org/10.3168/jds.2015-10230</w:t>
        </w:r>
      </w:hyperlink>
      <w:r w:rsidRPr="004345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8077372" w14:textId="00A78458" w:rsidR="00E63973" w:rsidRPr="00434558" w:rsidRDefault="00E63973" w:rsidP="00434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Souza, R.M., F.N. Souza, C.F. Batista, S.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A. De Visscher, K.R. Santos, P.C. Molinari, J.A.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Ferronatto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A.F. Cunha, M.G.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Blagitz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G.G. da Silva, F.P.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Rennó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M.M.O.P.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Cerqueira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M.B. Heinemann, S.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and A.M.M.P. Della Libera. 2022. Distinct behavior of bovine-associated staphylococci species in their ability to resist phagocytosis and trigger respiratory burst activity by blood and milk polymorphonuclear leukocytes in dairy cows. 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Dairy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Sci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. 105(2):1625-1637. doi.org/10.3168/jds.2021-20953.</w:t>
      </w:r>
    </w:p>
    <w:p w14:paraId="771B031E" w14:textId="4A341B50" w:rsidR="00E63973" w:rsidRPr="00434558" w:rsidRDefault="00E63973" w:rsidP="0043455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Toledo-Silva, B., F.N. Souza, S.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K. Mertens, F.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Haesebrouck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and S.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2021. Metabolites of bovine-associated non-aureus staphylococci influence expression of 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Staphylococcus aureus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agr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-related genes in vitro.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Vet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Res. 52(1):62.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doi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10.1186/s13567-021-00933-x. </w:t>
      </w:r>
    </w:p>
    <w:p w14:paraId="0116B483" w14:textId="77777777" w:rsidR="00434558" w:rsidRPr="00434558" w:rsidRDefault="00434558" w:rsidP="00434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Toledo-Silva, B., de Souza, F.N.,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Mertens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K.,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Haesebrouck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F.,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S., 2021b. 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Bovine-associated non-aureus staphylococci suppress 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Staphylococcus aureus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biofilm dispersal 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in vitro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yet not through </w:t>
      </w:r>
      <w:proofErr w:type="spellStart"/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agr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regulation. Vet. Res. 52(1), 114. </w:t>
      </w:r>
      <w:hyperlink r:id="rId6" w:history="1">
        <w:r w:rsidRPr="0043455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https://doi.org/10.1186/s13567-021-00985-z</w:t>
        </w:r>
      </w:hyperlink>
    </w:p>
    <w:p w14:paraId="7A482B2B" w14:textId="7AA28513" w:rsidR="00E63973" w:rsidRPr="00E63973" w:rsidRDefault="00434558" w:rsidP="00E63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Toledo-Silva, B.,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Beuckelaere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L., De Visscher, A.,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Geeroms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C., Meyer, E.,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Piepers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S.,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Thiry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D.,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Haesebrouck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F., De 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Vliegher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, S., 2022. Novel quantitative assay to describe in vitro bovine mastitis bacterial pathogen inhibition by non-</w:t>
      </w:r>
      <w:r w:rsidRPr="0043455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aureus</w:t>
      </w:r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 staphylococci. </w:t>
      </w:r>
      <w:proofErr w:type="spellStart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>Pathogens</w:t>
      </w:r>
      <w:proofErr w:type="spellEnd"/>
      <w:r w:rsidRPr="004345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11(2), 264. https://doi.org/10.3390/pathogens11020264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sectPr w:rsidR="00E63973" w:rsidRPr="00E63973" w:rsidSect="00020ED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D6"/>
    <w:rsid w:val="00020ED6"/>
    <w:rsid w:val="0029199A"/>
    <w:rsid w:val="00434558"/>
    <w:rsid w:val="00C10032"/>
    <w:rsid w:val="00DB54BD"/>
    <w:rsid w:val="00E6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64CD4"/>
  <w15:chartTrackingRefBased/>
  <w15:docId w15:val="{E6A2E9ED-A5F6-4FFE-8E7A-D3612C8C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99A"/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919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link w:val="Ttulo3Char"/>
    <w:uiPriority w:val="9"/>
    <w:unhideWhenUsed/>
    <w:qFormat/>
    <w:rsid w:val="00020ED6"/>
    <w:pPr>
      <w:widowControl w:val="0"/>
      <w:autoSpaceDE w:val="0"/>
      <w:autoSpaceDN w:val="0"/>
      <w:spacing w:before="1" w:after="0" w:line="240" w:lineRule="auto"/>
      <w:ind w:left="162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semiHidden/>
    <w:rsid w:val="002919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grafodaLista">
    <w:name w:val="List Paragraph"/>
    <w:basedOn w:val="Normal"/>
    <w:uiPriority w:val="34"/>
    <w:qFormat/>
    <w:rsid w:val="0029199A"/>
    <w:pPr>
      <w:ind w:left="720"/>
      <w:contextualSpacing/>
    </w:pPr>
  </w:style>
  <w:style w:type="table" w:styleId="Tabelacomgrade">
    <w:name w:val="Table Grid"/>
    <w:basedOn w:val="Tabelanormal"/>
    <w:uiPriority w:val="39"/>
    <w:rsid w:val="0002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rsid w:val="00020ED6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character" w:customStyle="1" w:styleId="cf01">
    <w:name w:val="cf01"/>
    <w:basedOn w:val="Fontepargpadro"/>
    <w:rsid w:val="00E63973"/>
    <w:rPr>
      <w:rFonts w:ascii="Segoe UI" w:hAnsi="Segoe UI" w:cs="Segoe UI" w:hint="default"/>
      <w:color w:val="333333"/>
      <w:sz w:val="18"/>
      <w:szCs w:val="18"/>
    </w:rPr>
  </w:style>
  <w:style w:type="character" w:styleId="Hyperlink">
    <w:name w:val="Hyperlink"/>
    <w:uiPriority w:val="99"/>
    <w:rsid w:val="00E639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186/s13567-021-00985-z" TargetMode="External"/><Relationship Id="rId5" Type="http://schemas.openxmlformats.org/officeDocument/2006/relationships/hyperlink" Target="https://doi.org/10.3168/jds.2015-10230" TargetMode="External"/><Relationship Id="rId4" Type="http://schemas.openxmlformats.org/officeDocument/2006/relationships/hyperlink" Target="https://doi.org/10.3390/ani10112143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942</Words>
  <Characters>5091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Nogueira Souza</dc:creator>
  <cp:keywords/>
  <dc:description/>
  <cp:lastModifiedBy>Fernando Nogueira Souza</cp:lastModifiedBy>
  <cp:revision>1</cp:revision>
  <dcterms:created xsi:type="dcterms:W3CDTF">2022-10-17T11:15:00Z</dcterms:created>
  <dcterms:modified xsi:type="dcterms:W3CDTF">2022-10-17T11:50:00Z</dcterms:modified>
</cp:coreProperties>
</file>